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6B3EB" w14:textId="23C0D977" w:rsidR="008655A0" w:rsidRPr="00FF5594" w:rsidRDefault="00FF5594" w:rsidP="008655A0">
      <w:pPr>
        <w:rPr>
          <w:rFonts w:ascii="Calibri" w:hAnsi="Calibri" w:cs="Calibri"/>
          <w:b/>
          <w:bCs/>
          <w:sz w:val="22"/>
          <w:szCs w:val="22"/>
        </w:rPr>
      </w:pPr>
      <w:bookmarkStart w:id="0" w:name="_GoBack"/>
      <w:r w:rsidRPr="00FF5594">
        <w:rPr>
          <w:rFonts w:ascii="Calibri" w:hAnsi="Calibri" w:cs="Calibri"/>
          <w:b/>
          <w:bCs/>
          <w:sz w:val="22"/>
          <w:szCs w:val="22"/>
        </w:rPr>
        <w:t xml:space="preserve">HÜDA </w:t>
      </w:r>
      <w:proofErr w:type="spellStart"/>
      <w:r w:rsidRPr="00FF5594">
        <w:rPr>
          <w:rFonts w:ascii="Calibri" w:hAnsi="Calibri" w:cs="Calibri"/>
          <w:b/>
          <w:bCs/>
          <w:sz w:val="22"/>
          <w:szCs w:val="22"/>
        </w:rPr>
        <w:t>PAR’dan</w:t>
      </w:r>
      <w:proofErr w:type="spellEnd"/>
      <w:r w:rsidRPr="00FF5594">
        <w:rPr>
          <w:rFonts w:ascii="Calibri" w:hAnsi="Calibri" w:cs="Calibri"/>
          <w:b/>
          <w:bCs/>
          <w:sz w:val="22"/>
          <w:szCs w:val="22"/>
        </w:rPr>
        <w:t xml:space="preserve"> gündemdeki operasyonlara ilişkin açıklama:</w:t>
      </w:r>
      <w:r w:rsidRPr="00FF5594">
        <w:rPr>
          <w:rFonts w:ascii="Calibri" w:hAnsi="Calibri" w:cs="Calibri"/>
          <w:b/>
          <w:sz w:val="22"/>
          <w:szCs w:val="22"/>
        </w:rPr>
        <w:t xml:space="preserve"> H</w:t>
      </w:r>
      <w:r w:rsidRPr="00FF5594">
        <w:rPr>
          <w:rFonts w:ascii="Calibri" w:hAnsi="Calibri" w:cs="Calibri"/>
          <w:b/>
          <w:sz w:val="22"/>
          <w:szCs w:val="22"/>
        </w:rPr>
        <w:t>ukukun temel ilkeleri hassasiyetle korunmalıdır</w:t>
      </w:r>
    </w:p>
    <w:bookmarkEnd w:id="0"/>
    <w:p w14:paraId="640AB48F" w14:textId="6B47A236" w:rsidR="001B7347" w:rsidRPr="00672AF4" w:rsidRDefault="001B7347" w:rsidP="001B7347">
      <w:pPr>
        <w:rPr>
          <w:rFonts w:ascii="Calibri" w:hAnsi="Calibri" w:cs="Calibri"/>
          <w:b/>
          <w:bCs/>
          <w:sz w:val="22"/>
          <w:szCs w:val="22"/>
        </w:rPr>
      </w:pPr>
      <w:r w:rsidRPr="00672AF4">
        <w:rPr>
          <w:rFonts w:ascii="Calibri" w:hAnsi="Calibri" w:cs="Calibri"/>
          <w:b/>
          <w:bCs/>
          <w:sz w:val="22"/>
          <w:szCs w:val="22"/>
        </w:rPr>
        <w:t>HÜDA PAR İnsan Hakları ve Hukuk İşleri Başkanlığı, kamu</w:t>
      </w:r>
      <w:r w:rsidR="00FF5594">
        <w:rPr>
          <w:rFonts w:ascii="Calibri" w:hAnsi="Calibri" w:cs="Calibri"/>
          <w:b/>
          <w:bCs/>
          <w:sz w:val="22"/>
          <w:szCs w:val="22"/>
        </w:rPr>
        <w:t xml:space="preserve">oyunun gündemindeki operasyon </w:t>
      </w:r>
      <w:r w:rsidRPr="00672AF4">
        <w:rPr>
          <w:rFonts w:ascii="Calibri" w:hAnsi="Calibri" w:cs="Calibri"/>
          <w:b/>
          <w:bCs/>
          <w:sz w:val="22"/>
          <w:szCs w:val="22"/>
        </w:rPr>
        <w:t>ve soruşturmaların hiçbir kişi veya yapıyı peşinen suçlu ilan etmeden, hukukun temel ilkelerine bağlı kalarak yürütülmesi gerektiğine dikkat çekti.</w:t>
      </w:r>
    </w:p>
    <w:p w14:paraId="69CD0836" w14:textId="2D9124DD" w:rsidR="00716BF1" w:rsidRPr="00672AF4" w:rsidRDefault="00716BF1" w:rsidP="00716BF1">
      <w:pPr>
        <w:rPr>
          <w:rFonts w:ascii="Calibri" w:hAnsi="Calibri" w:cs="Calibri"/>
          <w:sz w:val="22"/>
          <w:szCs w:val="22"/>
        </w:rPr>
      </w:pPr>
      <w:r w:rsidRPr="00672AF4">
        <w:rPr>
          <w:rFonts w:ascii="Calibri" w:hAnsi="Calibri" w:cs="Calibri"/>
          <w:sz w:val="22"/>
          <w:szCs w:val="22"/>
        </w:rPr>
        <w:t>HÜDA PAR İnsan Hakları ve Hukuk İşleri Başkanlığı, son günlerde kamuoyunun gündeminde geniş bir yer tutan, bazı şahıs ve yapılar hakkında başlatılan adli soruşturma ve operasyonlara ilişkin yazılı bir açıklama yaptı.</w:t>
      </w:r>
    </w:p>
    <w:p w14:paraId="43F6D452" w14:textId="04F28A5F" w:rsidR="00537D19" w:rsidRPr="00672AF4" w:rsidRDefault="00537D19" w:rsidP="008655A0">
      <w:pPr>
        <w:rPr>
          <w:rFonts w:ascii="Calibri" w:hAnsi="Calibri" w:cs="Calibri"/>
          <w:b/>
          <w:bCs/>
          <w:sz w:val="22"/>
          <w:szCs w:val="22"/>
        </w:rPr>
      </w:pPr>
      <w:r w:rsidRPr="00672AF4">
        <w:rPr>
          <w:rFonts w:ascii="Calibri" w:hAnsi="Calibri" w:cs="Calibri"/>
          <w:b/>
          <w:bCs/>
          <w:sz w:val="22"/>
          <w:szCs w:val="22"/>
        </w:rPr>
        <w:t>“Cezai sorumluluk sadece suçu işleyen kişiye aittir”</w:t>
      </w:r>
    </w:p>
    <w:p w14:paraId="4752D660" w14:textId="67B31548" w:rsidR="008655A0" w:rsidRPr="00672AF4" w:rsidRDefault="00672AF4" w:rsidP="008655A0">
      <w:pPr>
        <w:rPr>
          <w:rFonts w:ascii="Calibri" w:hAnsi="Calibri" w:cs="Calibri"/>
          <w:sz w:val="22"/>
          <w:szCs w:val="22"/>
        </w:rPr>
      </w:pPr>
      <w:r>
        <w:rPr>
          <w:rFonts w:ascii="Calibri" w:hAnsi="Calibri" w:cs="Calibri"/>
          <w:sz w:val="22"/>
          <w:szCs w:val="22"/>
        </w:rPr>
        <w:t>S</w:t>
      </w:r>
      <w:r w:rsidR="00716BF1" w:rsidRPr="00672AF4">
        <w:rPr>
          <w:rFonts w:ascii="Calibri" w:hAnsi="Calibri" w:cs="Calibri"/>
          <w:sz w:val="22"/>
          <w:szCs w:val="22"/>
        </w:rPr>
        <w:t>ürecin hukuk sınırları içinde yürütülmesi gerektiğine dikkat çek</w:t>
      </w:r>
      <w:r w:rsidR="001B7347" w:rsidRPr="00672AF4">
        <w:rPr>
          <w:rFonts w:ascii="Calibri" w:hAnsi="Calibri" w:cs="Calibri"/>
          <w:sz w:val="22"/>
          <w:szCs w:val="22"/>
        </w:rPr>
        <w:t>ilen açıklamada, “</w:t>
      </w:r>
      <w:r w:rsidR="00A31289" w:rsidRPr="00672AF4">
        <w:rPr>
          <w:rFonts w:ascii="Calibri" w:hAnsi="Calibri" w:cs="Calibri"/>
          <w:sz w:val="22"/>
          <w:szCs w:val="22"/>
        </w:rPr>
        <w:t xml:space="preserve">Son günlerde bazı şahıs ve yapılar hakkında başlatılan adli soruşturma ve operasyonlar kamuoyunun gündemindedir. Devam eden soruşturmaların esasına ilişkin peşin bir hüküm vermeksizin ifade etmek gerekir ki; suç şüphesi bulunan her fiil hukuk içerisinde araştırılmalı, süreç boyunca masumiyet karinesi, suçların şahsiliği ve adil yargılanma hakkı başta olmak üzere hukukun temel ilkeleri büyük bir hassasiyetle korunmalıdır.” </w:t>
      </w:r>
      <w:r w:rsidR="001B7347" w:rsidRPr="00672AF4">
        <w:rPr>
          <w:rFonts w:ascii="Calibri" w:hAnsi="Calibri" w:cs="Calibri"/>
          <w:sz w:val="22"/>
          <w:szCs w:val="22"/>
        </w:rPr>
        <w:t>denildi.</w:t>
      </w:r>
    </w:p>
    <w:p w14:paraId="4DB52957" w14:textId="7DFB0CC0" w:rsidR="00537D19" w:rsidRPr="00672AF4" w:rsidRDefault="00537D19" w:rsidP="008655A0">
      <w:pPr>
        <w:rPr>
          <w:rFonts w:ascii="Calibri" w:hAnsi="Calibri" w:cs="Calibri"/>
          <w:b/>
          <w:bCs/>
          <w:sz w:val="22"/>
          <w:szCs w:val="22"/>
        </w:rPr>
      </w:pPr>
      <w:r w:rsidRPr="00672AF4">
        <w:rPr>
          <w:rFonts w:ascii="Calibri" w:hAnsi="Calibri" w:cs="Calibri"/>
          <w:b/>
          <w:bCs/>
          <w:sz w:val="22"/>
          <w:szCs w:val="22"/>
        </w:rPr>
        <w:t>“Cemaatler, vakıflar ve İslami sivil toplum kuruluşları zan altında bırakıl</w:t>
      </w:r>
      <w:r w:rsidR="00A31289" w:rsidRPr="00672AF4">
        <w:rPr>
          <w:rFonts w:ascii="Calibri" w:hAnsi="Calibri" w:cs="Calibri"/>
          <w:b/>
          <w:bCs/>
          <w:sz w:val="22"/>
          <w:szCs w:val="22"/>
        </w:rPr>
        <w:t>mamalı</w:t>
      </w:r>
      <w:r w:rsidRPr="00672AF4">
        <w:rPr>
          <w:rFonts w:ascii="Calibri" w:hAnsi="Calibri" w:cs="Calibri"/>
          <w:b/>
          <w:bCs/>
          <w:sz w:val="22"/>
          <w:szCs w:val="22"/>
        </w:rPr>
        <w:t>”</w:t>
      </w:r>
    </w:p>
    <w:p w14:paraId="4E902C16" w14:textId="7092BA08" w:rsidR="008655A0" w:rsidRPr="00672AF4" w:rsidRDefault="00672AF4" w:rsidP="008655A0">
      <w:pPr>
        <w:rPr>
          <w:rFonts w:ascii="Calibri" w:hAnsi="Calibri" w:cs="Calibri"/>
          <w:sz w:val="22"/>
          <w:szCs w:val="22"/>
        </w:rPr>
      </w:pPr>
      <w:r>
        <w:rPr>
          <w:rFonts w:ascii="Calibri" w:hAnsi="Calibri" w:cs="Calibri"/>
          <w:sz w:val="22"/>
          <w:szCs w:val="22"/>
        </w:rPr>
        <w:t>Açıklamanın devamında,</w:t>
      </w:r>
      <w:r w:rsidR="001B7347" w:rsidRPr="00672AF4">
        <w:rPr>
          <w:rFonts w:ascii="Calibri" w:hAnsi="Calibri" w:cs="Calibri"/>
          <w:sz w:val="22"/>
          <w:szCs w:val="22"/>
        </w:rPr>
        <w:t xml:space="preserve"> “</w:t>
      </w:r>
      <w:r w:rsidR="00A31289" w:rsidRPr="00672AF4">
        <w:rPr>
          <w:rFonts w:ascii="Calibri" w:hAnsi="Calibri" w:cs="Calibri"/>
          <w:sz w:val="22"/>
          <w:szCs w:val="22"/>
        </w:rPr>
        <w:t xml:space="preserve">Bu soruşturmalar yürütülürken gözetilmesi gereken bir başka önemli husus da şudur: </w:t>
      </w:r>
      <w:r w:rsidR="008655A0" w:rsidRPr="00672AF4">
        <w:rPr>
          <w:rFonts w:ascii="Calibri" w:hAnsi="Calibri" w:cs="Calibri"/>
          <w:sz w:val="22"/>
          <w:szCs w:val="22"/>
        </w:rPr>
        <w:t xml:space="preserve">Basın-yayın organları ve </w:t>
      </w:r>
      <w:r w:rsidR="00A31289" w:rsidRPr="00672AF4">
        <w:rPr>
          <w:rFonts w:ascii="Calibri" w:hAnsi="Calibri" w:cs="Calibri"/>
          <w:sz w:val="22"/>
          <w:szCs w:val="22"/>
        </w:rPr>
        <w:t>çevrelerince</w:t>
      </w:r>
      <w:r w:rsidR="008655A0" w:rsidRPr="00672AF4">
        <w:rPr>
          <w:rFonts w:ascii="Calibri" w:hAnsi="Calibri" w:cs="Calibri"/>
          <w:sz w:val="22"/>
          <w:szCs w:val="22"/>
        </w:rPr>
        <w:t xml:space="preserve">, henüz yargısal süreç </w:t>
      </w:r>
      <w:r w:rsidR="00FF5594">
        <w:rPr>
          <w:rFonts w:ascii="Calibri" w:hAnsi="Calibri" w:cs="Calibri"/>
          <w:sz w:val="22"/>
          <w:szCs w:val="22"/>
        </w:rPr>
        <w:t>tamamlanmadan münferit iddialar</w:t>
      </w:r>
      <w:r w:rsidR="008655A0" w:rsidRPr="00672AF4">
        <w:rPr>
          <w:rFonts w:ascii="Calibri" w:hAnsi="Calibri" w:cs="Calibri"/>
          <w:sz w:val="22"/>
          <w:szCs w:val="22"/>
        </w:rPr>
        <w:t xml:space="preserve"> cemaatlerin, vakıfların ve İslami sivil toplum kuruluşlarının geneline teşmil </w:t>
      </w:r>
      <w:r w:rsidR="00A31289" w:rsidRPr="00672AF4">
        <w:rPr>
          <w:rFonts w:ascii="Calibri" w:hAnsi="Calibri" w:cs="Calibri"/>
          <w:sz w:val="22"/>
          <w:szCs w:val="22"/>
        </w:rPr>
        <w:t>edilerek bu yapılar zan altında bırakılmamalıdır.</w:t>
      </w:r>
      <w:r>
        <w:rPr>
          <w:rFonts w:ascii="Calibri" w:hAnsi="Calibri" w:cs="Calibri"/>
          <w:sz w:val="22"/>
          <w:szCs w:val="22"/>
        </w:rPr>
        <w:t>” ifadelerine yer verildi.</w:t>
      </w:r>
    </w:p>
    <w:p w14:paraId="4A506D60" w14:textId="371A5688" w:rsidR="008655A0" w:rsidRPr="00672AF4" w:rsidRDefault="008655A0" w:rsidP="008655A0">
      <w:pPr>
        <w:rPr>
          <w:rFonts w:ascii="Calibri" w:hAnsi="Calibri" w:cs="Calibri"/>
          <w:sz w:val="22"/>
          <w:szCs w:val="22"/>
        </w:rPr>
      </w:pPr>
      <w:r w:rsidRPr="00672AF4">
        <w:rPr>
          <w:rFonts w:ascii="Calibri" w:hAnsi="Calibri" w:cs="Calibri"/>
          <w:sz w:val="22"/>
          <w:szCs w:val="22"/>
        </w:rPr>
        <w:t>Cemaatler</w:t>
      </w:r>
      <w:r w:rsidR="001B7347" w:rsidRPr="00672AF4">
        <w:rPr>
          <w:rFonts w:ascii="Calibri" w:hAnsi="Calibri" w:cs="Calibri"/>
          <w:sz w:val="22"/>
          <w:szCs w:val="22"/>
        </w:rPr>
        <w:t>in</w:t>
      </w:r>
      <w:r w:rsidRPr="00672AF4">
        <w:rPr>
          <w:rFonts w:ascii="Calibri" w:hAnsi="Calibri" w:cs="Calibri"/>
          <w:sz w:val="22"/>
          <w:szCs w:val="22"/>
        </w:rPr>
        <w:t>, vakıflar</w:t>
      </w:r>
      <w:r w:rsidR="001B7347" w:rsidRPr="00672AF4">
        <w:rPr>
          <w:rFonts w:ascii="Calibri" w:hAnsi="Calibri" w:cs="Calibri"/>
          <w:sz w:val="22"/>
          <w:szCs w:val="22"/>
        </w:rPr>
        <w:t>ın</w:t>
      </w:r>
      <w:r w:rsidRPr="00672AF4">
        <w:rPr>
          <w:rFonts w:ascii="Calibri" w:hAnsi="Calibri" w:cs="Calibri"/>
          <w:sz w:val="22"/>
          <w:szCs w:val="22"/>
        </w:rPr>
        <w:t xml:space="preserve"> ve sivil toplum kuruluşları</w:t>
      </w:r>
      <w:r w:rsidR="001B7347" w:rsidRPr="00672AF4">
        <w:rPr>
          <w:rFonts w:ascii="Calibri" w:hAnsi="Calibri" w:cs="Calibri"/>
          <w:sz w:val="22"/>
          <w:szCs w:val="22"/>
        </w:rPr>
        <w:t xml:space="preserve">nın, </w:t>
      </w:r>
      <w:r w:rsidRPr="00672AF4">
        <w:rPr>
          <w:rFonts w:ascii="Calibri" w:hAnsi="Calibri" w:cs="Calibri"/>
          <w:sz w:val="22"/>
          <w:szCs w:val="22"/>
        </w:rPr>
        <w:t>eğitimden hayır faaliyetlerine</w:t>
      </w:r>
      <w:r w:rsidR="00A31289" w:rsidRPr="00672AF4">
        <w:rPr>
          <w:rFonts w:ascii="Calibri" w:hAnsi="Calibri" w:cs="Calibri"/>
          <w:sz w:val="22"/>
          <w:szCs w:val="22"/>
        </w:rPr>
        <w:t xml:space="preserve">, </w:t>
      </w:r>
      <w:r w:rsidRPr="00672AF4">
        <w:rPr>
          <w:rFonts w:ascii="Calibri" w:hAnsi="Calibri" w:cs="Calibri"/>
          <w:sz w:val="22"/>
          <w:szCs w:val="22"/>
        </w:rPr>
        <w:t>toplumsal dayanışmadan manevi değerlerin yaşatılmasına kadar önemli hizmetler yürüt</w:t>
      </w:r>
      <w:r w:rsidR="001B7347" w:rsidRPr="00672AF4">
        <w:rPr>
          <w:rFonts w:ascii="Calibri" w:hAnsi="Calibri" w:cs="Calibri"/>
          <w:sz w:val="22"/>
          <w:szCs w:val="22"/>
        </w:rPr>
        <w:t>tüğü belirtilen açıklamada, “</w:t>
      </w:r>
      <w:r w:rsidRPr="00672AF4">
        <w:rPr>
          <w:rFonts w:ascii="Calibri" w:hAnsi="Calibri" w:cs="Calibri"/>
          <w:sz w:val="22"/>
          <w:szCs w:val="22"/>
        </w:rPr>
        <w:t>Bu yapıların hukuka uygun, şeffaf ve hesap verebilir olması ne kadar önemliyse</w:t>
      </w:r>
      <w:r w:rsidR="00A31289" w:rsidRPr="00672AF4">
        <w:rPr>
          <w:rFonts w:ascii="Calibri" w:hAnsi="Calibri" w:cs="Calibri"/>
          <w:sz w:val="22"/>
          <w:szCs w:val="22"/>
        </w:rPr>
        <w:t xml:space="preserve">, </w:t>
      </w:r>
      <w:r w:rsidRPr="00672AF4">
        <w:rPr>
          <w:rFonts w:ascii="Calibri" w:hAnsi="Calibri" w:cs="Calibri"/>
          <w:sz w:val="22"/>
          <w:szCs w:val="22"/>
        </w:rPr>
        <w:t>münferit fiiller üzerinden topyekûn kriminalize edilmelerine karşı çıkmak da o kadar önemlidir.</w:t>
      </w:r>
      <w:r w:rsidR="001B7347" w:rsidRPr="00672AF4">
        <w:rPr>
          <w:rFonts w:ascii="Calibri" w:hAnsi="Calibri" w:cs="Calibri"/>
          <w:sz w:val="22"/>
          <w:szCs w:val="22"/>
        </w:rPr>
        <w:t xml:space="preserve">” </w:t>
      </w:r>
      <w:r w:rsidR="00672AF4">
        <w:rPr>
          <w:rFonts w:ascii="Calibri" w:hAnsi="Calibri" w:cs="Calibri"/>
          <w:sz w:val="22"/>
          <w:szCs w:val="22"/>
        </w:rPr>
        <w:t>denildi.</w:t>
      </w:r>
    </w:p>
    <w:p w14:paraId="0B173AE3" w14:textId="27A8F5BD" w:rsidR="00537D19" w:rsidRPr="00672AF4" w:rsidRDefault="00537D19" w:rsidP="008655A0">
      <w:pPr>
        <w:rPr>
          <w:rFonts w:ascii="Calibri" w:hAnsi="Calibri" w:cs="Calibri"/>
          <w:b/>
          <w:bCs/>
          <w:sz w:val="22"/>
          <w:szCs w:val="22"/>
        </w:rPr>
      </w:pPr>
      <w:r w:rsidRPr="00672AF4">
        <w:rPr>
          <w:rFonts w:ascii="Calibri" w:hAnsi="Calibri" w:cs="Calibri"/>
          <w:b/>
          <w:bCs/>
          <w:sz w:val="22"/>
          <w:szCs w:val="22"/>
        </w:rPr>
        <w:t>“Hiçbir kişi veya yapı peşinen suçlu ilan edilmemeli”</w:t>
      </w:r>
    </w:p>
    <w:p w14:paraId="346D7A30" w14:textId="316F2EDC" w:rsidR="001B7347" w:rsidRPr="00672AF4" w:rsidRDefault="001B7347" w:rsidP="008655A0">
      <w:pPr>
        <w:rPr>
          <w:rFonts w:ascii="Calibri" w:hAnsi="Calibri" w:cs="Calibri"/>
          <w:sz w:val="22"/>
          <w:szCs w:val="22"/>
        </w:rPr>
      </w:pPr>
      <w:r w:rsidRPr="00672AF4">
        <w:rPr>
          <w:rFonts w:ascii="Calibri" w:hAnsi="Calibri" w:cs="Calibri"/>
          <w:sz w:val="22"/>
          <w:szCs w:val="22"/>
        </w:rPr>
        <w:t>Soruşturmaların hukukun temel ilkelerine bağlı kal</w:t>
      </w:r>
      <w:r w:rsidR="00672AF4">
        <w:rPr>
          <w:rFonts w:ascii="Calibri" w:hAnsi="Calibri" w:cs="Calibri"/>
          <w:sz w:val="22"/>
          <w:szCs w:val="22"/>
        </w:rPr>
        <w:t xml:space="preserve">ınarak </w:t>
      </w:r>
      <w:r w:rsidRPr="00672AF4">
        <w:rPr>
          <w:rFonts w:ascii="Calibri" w:hAnsi="Calibri" w:cs="Calibri"/>
          <w:sz w:val="22"/>
          <w:szCs w:val="22"/>
        </w:rPr>
        <w:t xml:space="preserve">yürütülmesi </w:t>
      </w:r>
      <w:r w:rsidR="00672AF4">
        <w:rPr>
          <w:rFonts w:ascii="Calibri" w:hAnsi="Calibri" w:cs="Calibri"/>
          <w:sz w:val="22"/>
          <w:szCs w:val="22"/>
        </w:rPr>
        <w:t>gerektiğine dikkat çekilen açıklamanın sonunda, şu ifadelere yer verildi:</w:t>
      </w:r>
    </w:p>
    <w:p w14:paraId="3DF3ED56" w14:textId="7389C08D" w:rsidR="009B11C7" w:rsidRPr="00672AF4" w:rsidRDefault="001B7347" w:rsidP="008655A0">
      <w:pPr>
        <w:rPr>
          <w:rFonts w:ascii="Calibri" w:hAnsi="Calibri" w:cs="Calibri"/>
          <w:sz w:val="22"/>
          <w:szCs w:val="22"/>
        </w:rPr>
      </w:pPr>
      <w:r w:rsidRPr="00672AF4">
        <w:rPr>
          <w:rFonts w:ascii="Calibri" w:hAnsi="Calibri" w:cs="Calibri"/>
          <w:sz w:val="22"/>
          <w:szCs w:val="22"/>
        </w:rPr>
        <w:t>“</w:t>
      </w:r>
      <w:r w:rsidR="008655A0" w:rsidRPr="00672AF4">
        <w:rPr>
          <w:rFonts w:ascii="Calibri" w:hAnsi="Calibri" w:cs="Calibri"/>
          <w:sz w:val="22"/>
          <w:szCs w:val="22"/>
        </w:rPr>
        <w:t xml:space="preserve">Suç kimin tarafından işlenirse işlensin cezasız kalmaması; </w:t>
      </w:r>
      <w:r w:rsidR="00A31289" w:rsidRPr="00672AF4">
        <w:rPr>
          <w:rFonts w:ascii="Calibri" w:hAnsi="Calibri" w:cs="Calibri"/>
          <w:sz w:val="22"/>
          <w:szCs w:val="22"/>
        </w:rPr>
        <w:t xml:space="preserve">kime karşı yapılırsa yapılsın haksızlığın karşısında durulması temel ilkelerimizdendir. </w:t>
      </w:r>
      <w:r w:rsidR="008655A0" w:rsidRPr="00672AF4">
        <w:rPr>
          <w:rFonts w:ascii="Calibri" w:hAnsi="Calibri" w:cs="Calibri"/>
          <w:sz w:val="22"/>
          <w:szCs w:val="22"/>
        </w:rPr>
        <w:t>Bu nedenle yetkili makamları, soruşturmaları hiçbir kişi veya yapıyı peşinen suçlu ilan etmeden, hukukun temel güvencelerine titizlikle riayet ederek yürütmeye; aynı zamanda bu süreçlerin din</w:t>
      </w:r>
      <w:r w:rsidRPr="00672AF4">
        <w:rPr>
          <w:rFonts w:ascii="Calibri" w:hAnsi="Calibri" w:cs="Calibri"/>
          <w:sz w:val="22"/>
          <w:szCs w:val="22"/>
        </w:rPr>
        <w:t xml:space="preserve">i </w:t>
      </w:r>
      <w:r w:rsidR="008655A0" w:rsidRPr="00672AF4">
        <w:rPr>
          <w:rFonts w:ascii="Calibri" w:hAnsi="Calibri" w:cs="Calibri"/>
          <w:sz w:val="22"/>
          <w:szCs w:val="22"/>
        </w:rPr>
        <w:t>yapıları ve mensuplarını hedef gösteren, zan altında bırakan ve itibarsızlaştıran kampanyalara dönüştürülmesine karşı gerekli hassasiyeti göstermeye davet ediyoruz.</w:t>
      </w:r>
      <w:r w:rsidRPr="00672AF4">
        <w:rPr>
          <w:rFonts w:ascii="Calibri" w:hAnsi="Calibri" w:cs="Calibri"/>
          <w:sz w:val="22"/>
          <w:szCs w:val="22"/>
        </w:rPr>
        <w:t>”</w:t>
      </w:r>
    </w:p>
    <w:sectPr w:rsidR="009B11C7" w:rsidRPr="00672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3FD"/>
    <w:rsid w:val="001B7347"/>
    <w:rsid w:val="00537D19"/>
    <w:rsid w:val="00630476"/>
    <w:rsid w:val="00672AF4"/>
    <w:rsid w:val="0071132D"/>
    <w:rsid w:val="00716BF1"/>
    <w:rsid w:val="007A42F5"/>
    <w:rsid w:val="008655A0"/>
    <w:rsid w:val="008A1254"/>
    <w:rsid w:val="008D05DD"/>
    <w:rsid w:val="009B11C7"/>
    <w:rsid w:val="00A31289"/>
    <w:rsid w:val="00D359E7"/>
    <w:rsid w:val="00E453FD"/>
    <w:rsid w:val="00FF55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4C2B6"/>
  <w15:chartTrackingRefBased/>
  <w15:docId w15:val="{79B5D8D8-9A9E-4983-A062-23A83226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289"/>
  </w:style>
  <w:style w:type="paragraph" w:styleId="Balk1">
    <w:name w:val="heading 1"/>
    <w:basedOn w:val="Normal"/>
    <w:next w:val="Normal"/>
    <w:link w:val="Balk1Char"/>
    <w:uiPriority w:val="9"/>
    <w:qFormat/>
    <w:rsid w:val="00E45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45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453F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E453F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453F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453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453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453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453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453F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453F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453F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E453F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453F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453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453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453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453FD"/>
    <w:rPr>
      <w:rFonts w:eastAsiaTheme="majorEastAsia" w:cstheme="majorBidi"/>
      <w:color w:val="272727" w:themeColor="text1" w:themeTint="D8"/>
    </w:rPr>
  </w:style>
  <w:style w:type="paragraph" w:styleId="KonuBal">
    <w:name w:val="Title"/>
    <w:basedOn w:val="Normal"/>
    <w:next w:val="Normal"/>
    <w:link w:val="KonuBalChar"/>
    <w:uiPriority w:val="10"/>
    <w:qFormat/>
    <w:rsid w:val="00E45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453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453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453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453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453FD"/>
    <w:rPr>
      <w:i/>
      <w:iCs/>
      <w:color w:val="404040" w:themeColor="text1" w:themeTint="BF"/>
    </w:rPr>
  </w:style>
  <w:style w:type="paragraph" w:styleId="ListeParagraf">
    <w:name w:val="List Paragraph"/>
    <w:basedOn w:val="Normal"/>
    <w:uiPriority w:val="34"/>
    <w:qFormat/>
    <w:rsid w:val="00E453FD"/>
    <w:pPr>
      <w:ind w:left="720"/>
      <w:contextualSpacing/>
    </w:pPr>
  </w:style>
  <w:style w:type="character" w:styleId="GlVurgulama">
    <w:name w:val="Intense Emphasis"/>
    <w:basedOn w:val="VarsaylanParagrafYazTipi"/>
    <w:uiPriority w:val="21"/>
    <w:qFormat/>
    <w:rsid w:val="00E453FD"/>
    <w:rPr>
      <w:i/>
      <w:iCs/>
      <w:color w:val="0F4761" w:themeColor="accent1" w:themeShade="BF"/>
    </w:rPr>
  </w:style>
  <w:style w:type="paragraph" w:styleId="GlAlnt">
    <w:name w:val="Intense Quote"/>
    <w:basedOn w:val="Normal"/>
    <w:next w:val="Normal"/>
    <w:link w:val="GlAlntChar"/>
    <w:uiPriority w:val="30"/>
    <w:qFormat/>
    <w:rsid w:val="00E45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453FD"/>
    <w:rPr>
      <w:i/>
      <w:iCs/>
      <w:color w:val="0F4761" w:themeColor="accent1" w:themeShade="BF"/>
    </w:rPr>
  </w:style>
  <w:style w:type="character" w:styleId="GlBavuru">
    <w:name w:val="Intense Reference"/>
    <w:basedOn w:val="VarsaylanParagrafYazTipi"/>
    <w:uiPriority w:val="32"/>
    <w:qFormat/>
    <w:rsid w:val="00E453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395</Words>
  <Characters>2257</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6</cp:revision>
  <dcterms:created xsi:type="dcterms:W3CDTF">2026-08-19T10:52:00Z</dcterms:created>
  <dcterms:modified xsi:type="dcterms:W3CDTF">2026-08-19T13:12:00Z</dcterms:modified>
</cp:coreProperties>
</file>